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E15AE4">
      <w:pPr>
        <w:pStyle w:val="31"/>
        <w:widowControl/>
      </w:pPr>
      <w:bookmarkStart w:id="0" w:name="_GoBack"/>
      <mc:AlternateContent>
        <mc:Choice Requires="wpsCustomData">
          <wpsCustomData:docfieldStart id="0" docfieldname="标题_1" hidden="0" print="1" readonly="0" index="1"/>
        </mc:Choice>
      </mc:AlternateContent>
      <w:r>
        <w:t>波密县农业农村和水利科技局</w:t>
      </w:r>
      <w:r>
        <w:br w:type="textWrapping"/>
      </w:r>
      <w:r>
        <w:t>重大行政执法决定法制审核目录清单</w:t>
      </w:r>
      <mc:AlternateContent>
        <mc:Choice Requires="wpsCustomData">
          <wpsCustomData:docfieldEnd id="0"/>
        </mc:Choice>
      </mc:AlternateContent>
    </w:p>
    <w:bookmarkEnd w:id="0"/>
    <w:p w14:paraId="52B36F87">
      <w:pPr>
        <w:pStyle w:val="19"/>
        <w:bidi w:val="0"/>
        <w:spacing w:beforeAutospacing="0" w:afterAutospacing="0" w:line="300" w:lineRule="exact"/>
      </w:pPr>
    </w:p>
    <w:p w14:paraId="5CB2667C">
      <w:pPr>
        <w:pStyle w:val="19"/>
        <w:widowControl/>
        <w:rPr>
          <w:rFonts w:ascii="Times New Roman" w:hAnsi="Times New Roman" w:eastAsia="仿宋_GB2312" w:cs="仿宋_GB2312"/>
          <w:sz w:val="32"/>
          <w:szCs w:val="32"/>
        </w:rPr>
      </w:pPr>
      <w:r>
        <w:rPr>
          <w:rFonts w:ascii="Times New Roman" w:hAnsi="Times New Roman" w:eastAsia="仿宋_GB2312" w:cs="仿宋_GB2312"/>
          <w:b w:val="0"/>
          <w:sz w:val="32"/>
          <w:szCs w:val="32"/>
        </w:rPr>
        <w:t>为进一步规范重大行政执法决定法制审核工作，促进严格规范公正文明执法，根据《中华人民共和国行政处罚法》《西藏自治区重大行政执法决定法制审核实施办法》等规定，结合本局农业农村、水利等行政执法工作实际，制定本目录清单。</w:t>
      </w:r>
    </w:p>
    <w:tbl>
      <w:tblPr>
        <w:tblStyle w:val="33"/>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7"/>
        <w:gridCol w:w="2305"/>
        <w:gridCol w:w="6225"/>
      </w:tblGrid>
      <w:tr w14:paraId="68D098EB">
        <w:trPr>
          <w:tblHeader/>
          <w:jc w:val="center"/>
        </w:trPr>
        <w:tc>
          <w:tcPr>
            <w:tcW w:w="432" w:type="pct"/>
            <w:shd w:val="clear" w:color="auto" w:fill="E7E6E6"/>
            <w:tcMar>
              <w:top w:w="80" w:type="dxa"/>
              <w:left w:w="80" w:type="dxa"/>
              <w:bottom w:w="80" w:type="dxa"/>
              <w:right w:w="80" w:type="dxa"/>
            </w:tcMar>
            <w:vAlign w:val="center"/>
          </w:tcPr>
          <w:p w14:paraId="45AA6092">
            <w:pPr>
              <w:spacing w:before="0" w:after="0" w:line="300" w:lineRule="auto"/>
              <w:jc w:val="center"/>
              <w:rPr>
                <w:rFonts w:hint="eastAsia" w:ascii="仿宋_GB2312" w:hAnsi="仿宋_GB2312" w:eastAsia="仿宋_GB2312" w:cs="仿宋_GB2312"/>
                <w:sz w:val="40"/>
                <w:szCs w:val="32"/>
              </w:rPr>
            </w:pPr>
            <w:r>
              <w:rPr>
                <w:rFonts w:hint="eastAsia" w:ascii="仿宋_GB2312" w:hAnsi="仿宋_GB2312" w:eastAsia="仿宋_GB2312" w:cs="仿宋_GB2312"/>
                <w:b/>
                <w:sz w:val="32"/>
                <w:szCs w:val="32"/>
              </w:rPr>
              <w:t>序号</w:t>
            </w:r>
          </w:p>
        </w:tc>
        <w:tc>
          <w:tcPr>
            <w:tcW w:w="1234" w:type="pct"/>
            <w:shd w:val="clear" w:color="auto" w:fill="E7E6E6"/>
            <w:tcMar>
              <w:top w:w="80" w:type="dxa"/>
              <w:left w:w="80" w:type="dxa"/>
              <w:bottom w:w="80" w:type="dxa"/>
              <w:right w:w="80" w:type="dxa"/>
            </w:tcMar>
            <w:vAlign w:val="center"/>
          </w:tcPr>
          <w:p w14:paraId="79DC7C99">
            <w:pPr>
              <w:spacing w:before="0" w:after="0" w:line="300" w:lineRule="auto"/>
              <w:jc w:val="center"/>
              <w:rPr>
                <w:rFonts w:hint="eastAsia" w:ascii="仿宋_GB2312" w:hAnsi="仿宋_GB2312" w:eastAsia="仿宋_GB2312" w:cs="仿宋_GB2312"/>
                <w:sz w:val="40"/>
                <w:szCs w:val="32"/>
              </w:rPr>
            </w:pPr>
            <w:r>
              <w:rPr>
                <w:rFonts w:hint="eastAsia" w:ascii="仿宋_GB2312" w:hAnsi="仿宋_GB2312" w:eastAsia="仿宋_GB2312" w:cs="仿宋_GB2312"/>
                <w:b/>
                <w:sz w:val="32"/>
                <w:szCs w:val="32"/>
              </w:rPr>
              <w:t>执法类别</w:t>
            </w:r>
          </w:p>
        </w:tc>
        <w:tc>
          <w:tcPr>
            <w:tcW w:w="3333" w:type="pct"/>
            <w:shd w:val="clear" w:color="auto" w:fill="E7E6E6"/>
            <w:tcMar>
              <w:top w:w="80" w:type="dxa"/>
              <w:left w:w="80" w:type="dxa"/>
              <w:bottom w:w="80" w:type="dxa"/>
              <w:right w:w="80" w:type="dxa"/>
            </w:tcMar>
            <w:vAlign w:val="center"/>
          </w:tcPr>
          <w:p w14:paraId="015765B5">
            <w:pPr>
              <w:spacing w:before="0" w:after="0" w:line="300" w:lineRule="auto"/>
              <w:jc w:val="center"/>
              <w:rPr>
                <w:rFonts w:hint="eastAsia" w:ascii="仿宋_GB2312" w:hAnsi="仿宋_GB2312" w:eastAsia="仿宋_GB2312" w:cs="仿宋_GB2312"/>
                <w:sz w:val="40"/>
                <w:szCs w:val="32"/>
              </w:rPr>
            </w:pPr>
            <w:r>
              <w:rPr>
                <w:rFonts w:hint="eastAsia" w:ascii="仿宋_GB2312" w:hAnsi="仿宋_GB2312" w:eastAsia="仿宋_GB2312" w:cs="仿宋_GB2312"/>
                <w:b/>
                <w:sz w:val="32"/>
                <w:szCs w:val="32"/>
              </w:rPr>
              <w:t>纳入法制审核的事项及情形</w:t>
            </w:r>
          </w:p>
        </w:tc>
      </w:tr>
      <w:tr w14:paraId="271F16EE">
        <w:trPr>
          <w:jc w:val="center"/>
        </w:trPr>
        <w:tc>
          <w:tcPr>
            <w:tcW w:w="432" w:type="pct"/>
            <w:tcMar>
              <w:top w:w="80" w:type="dxa"/>
              <w:left w:w="80" w:type="dxa"/>
              <w:bottom w:w="80" w:type="dxa"/>
              <w:right w:w="80" w:type="dxa"/>
            </w:tcMar>
            <w:vAlign w:val="center"/>
          </w:tcPr>
          <w:p w14:paraId="0C1D7AB9">
            <w:pPr>
              <w:spacing w:before="0" w:after="0" w:line="300" w:lineRule="auto"/>
              <w:jc w:val="center"/>
              <w:rPr>
                <w:rFonts w:hint="eastAsia" w:ascii="仿宋_GB2312" w:hAnsi="仿宋_GB2312" w:eastAsia="仿宋_GB2312" w:cs="仿宋_GB2312"/>
                <w:sz w:val="40"/>
                <w:szCs w:val="32"/>
              </w:rPr>
            </w:pPr>
            <w:r>
              <w:rPr>
                <w:rFonts w:hint="eastAsia" w:ascii="仿宋_GB2312" w:hAnsi="仿宋_GB2312" w:eastAsia="仿宋_GB2312" w:cs="仿宋_GB2312"/>
                <w:b w:val="0"/>
                <w:sz w:val="28"/>
                <w:szCs w:val="32"/>
              </w:rPr>
              <w:t>1</w:t>
            </w:r>
          </w:p>
        </w:tc>
        <w:tc>
          <w:tcPr>
            <w:tcW w:w="1234" w:type="pct"/>
            <w:tcMar>
              <w:top w:w="80" w:type="dxa"/>
              <w:left w:w="80" w:type="dxa"/>
              <w:bottom w:w="80" w:type="dxa"/>
              <w:right w:w="80" w:type="dxa"/>
            </w:tcMar>
            <w:vAlign w:val="center"/>
          </w:tcPr>
          <w:p w14:paraId="24A2C096">
            <w:pPr>
              <w:spacing w:before="0" w:after="0" w:line="300" w:lineRule="auto"/>
              <w:jc w:val="center"/>
              <w:rPr>
                <w:rFonts w:hint="eastAsia" w:ascii="仿宋_GB2312" w:hAnsi="仿宋_GB2312" w:eastAsia="仿宋_GB2312" w:cs="仿宋_GB2312"/>
                <w:sz w:val="40"/>
                <w:szCs w:val="32"/>
              </w:rPr>
            </w:pPr>
            <w:r>
              <w:rPr>
                <w:rFonts w:hint="eastAsia" w:ascii="仿宋_GB2312" w:hAnsi="仿宋_GB2312" w:eastAsia="仿宋_GB2312" w:cs="仿宋_GB2312"/>
                <w:b w:val="0"/>
                <w:sz w:val="28"/>
                <w:szCs w:val="32"/>
              </w:rPr>
              <w:t>行政处罚</w:t>
            </w:r>
          </w:p>
        </w:tc>
        <w:tc>
          <w:tcPr>
            <w:tcW w:w="3333" w:type="pct"/>
            <w:tcMar>
              <w:top w:w="80" w:type="dxa"/>
              <w:left w:w="80" w:type="dxa"/>
              <w:bottom w:w="80" w:type="dxa"/>
              <w:right w:w="80" w:type="dxa"/>
            </w:tcMar>
            <w:vAlign w:val="center"/>
          </w:tcPr>
          <w:p w14:paraId="722F9BE9">
            <w:pPr>
              <w:spacing w:before="0" w:after="0" w:line="300" w:lineRule="auto"/>
              <w:jc w:val="left"/>
              <w:rPr>
                <w:rFonts w:hint="eastAsia" w:ascii="仿宋_GB2312" w:hAnsi="仿宋_GB2312" w:eastAsia="仿宋_GB2312" w:cs="仿宋_GB2312"/>
                <w:sz w:val="40"/>
                <w:szCs w:val="32"/>
              </w:rPr>
            </w:pPr>
            <w:r>
              <w:rPr>
                <w:rFonts w:hint="eastAsia" w:ascii="仿宋_GB2312" w:hAnsi="仿宋_GB2312" w:eastAsia="仿宋_GB2312" w:cs="仿宋_GB2312"/>
                <w:b w:val="0"/>
                <w:sz w:val="28"/>
                <w:szCs w:val="32"/>
              </w:rPr>
              <w:t>涉及重大公共利益，可能造成重大社会影响或者引发社会风险的行政处罚决定。</w:t>
            </w:r>
          </w:p>
        </w:tc>
      </w:tr>
      <w:tr w14:paraId="065523CA">
        <w:trPr>
          <w:jc w:val="center"/>
        </w:trPr>
        <w:tc>
          <w:tcPr>
            <w:tcW w:w="432" w:type="pct"/>
            <w:tcMar>
              <w:top w:w="80" w:type="dxa"/>
              <w:left w:w="80" w:type="dxa"/>
              <w:bottom w:w="80" w:type="dxa"/>
              <w:right w:w="80" w:type="dxa"/>
            </w:tcMar>
            <w:vAlign w:val="center"/>
          </w:tcPr>
          <w:p w14:paraId="2A958CD5">
            <w:pPr>
              <w:spacing w:before="0" w:after="0" w:line="300" w:lineRule="auto"/>
              <w:jc w:val="center"/>
              <w:rPr>
                <w:rFonts w:hint="eastAsia" w:ascii="仿宋_GB2312" w:hAnsi="仿宋_GB2312" w:eastAsia="仿宋_GB2312" w:cs="仿宋_GB2312"/>
                <w:sz w:val="40"/>
                <w:szCs w:val="32"/>
              </w:rPr>
            </w:pPr>
            <w:r>
              <w:rPr>
                <w:rFonts w:hint="eastAsia" w:ascii="仿宋_GB2312" w:hAnsi="仿宋_GB2312" w:eastAsia="仿宋_GB2312" w:cs="仿宋_GB2312"/>
                <w:b w:val="0"/>
                <w:sz w:val="28"/>
                <w:szCs w:val="32"/>
              </w:rPr>
              <w:t>2</w:t>
            </w:r>
          </w:p>
        </w:tc>
        <w:tc>
          <w:tcPr>
            <w:tcW w:w="1234" w:type="pct"/>
            <w:tcMar>
              <w:top w:w="80" w:type="dxa"/>
              <w:left w:w="80" w:type="dxa"/>
              <w:bottom w:w="80" w:type="dxa"/>
              <w:right w:w="80" w:type="dxa"/>
            </w:tcMar>
            <w:vAlign w:val="center"/>
          </w:tcPr>
          <w:p w14:paraId="7A3729A1">
            <w:pPr>
              <w:spacing w:before="0" w:after="0" w:line="300" w:lineRule="auto"/>
              <w:jc w:val="center"/>
              <w:rPr>
                <w:rFonts w:hint="eastAsia" w:ascii="仿宋_GB2312" w:hAnsi="仿宋_GB2312" w:eastAsia="仿宋_GB2312" w:cs="仿宋_GB2312"/>
                <w:sz w:val="40"/>
                <w:szCs w:val="32"/>
              </w:rPr>
            </w:pPr>
            <w:r>
              <w:rPr>
                <w:rFonts w:hint="eastAsia" w:ascii="仿宋_GB2312" w:hAnsi="仿宋_GB2312" w:eastAsia="仿宋_GB2312" w:cs="仿宋_GB2312"/>
                <w:b w:val="0"/>
                <w:sz w:val="28"/>
                <w:szCs w:val="32"/>
              </w:rPr>
              <w:t>行政处罚</w:t>
            </w:r>
          </w:p>
        </w:tc>
        <w:tc>
          <w:tcPr>
            <w:tcW w:w="3333" w:type="pct"/>
            <w:tcMar>
              <w:top w:w="80" w:type="dxa"/>
              <w:left w:w="80" w:type="dxa"/>
              <w:bottom w:w="80" w:type="dxa"/>
              <w:right w:w="80" w:type="dxa"/>
            </w:tcMar>
            <w:vAlign w:val="center"/>
          </w:tcPr>
          <w:p w14:paraId="6F3929D8">
            <w:pPr>
              <w:spacing w:before="0" w:after="0" w:line="300" w:lineRule="auto"/>
              <w:jc w:val="left"/>
              <w:rPr>
                <w:rFonts w:hint="eastAsia" w:ascii="仿宋_GB2312" w:hAnsi="仿宋_GB2312" w:eastAsia="仿宋_GB2312" w:cs="仿宋_GB2312"/>
                <w:sz w:val="40"/>
                <w:szCs w:val="32"/>
              </w:rPr>
            </w:pPr>
            <w:r>
              <w:rPr>
                <w:rFonts w:hint="eastAsia" w:ascii="仿宋_GB2312" w:hAnsi="仿宋_GB2312" w:eastAsia="仿宋_GB2312" w:cs="仿宋_GB2312"/>
                <w:b w:val="0"/>
                <w:sz w:val="28"/>
                <w:szCs w:val="32"/>
              </w:rPr>
              <w:t>直接关系当事人或者第三人重大权益，依法经过听证程序作出的行政处罚决定。</w:t>
            </w:r>
          </w:p>
        </w:tc>
      </w:tr>
      <w:tr w14:paraId="26E2B1DD">
        <w:trPr>
          <w:jc w:val="center"/>
        </w:trPr>
        <w:tc>
          <w:tcPr>
            <w:tcW w:w="432" w:type="pct"/>
            <w:tcMar>
              <w:top w:w="80" w:type="dxa"/>
              <w:left w:w="80" w:type="dxa"/>
              <w:bottom w:w="80" w:type="dxa"/>
              <w:right w:w="80" w:type="dxa"/>
            </w:tcMar>
            <w:vAlign w:val="center"/>
          </w:tcPr>
          <w:p w14:paraId="32CCD976">
            <w:pPr>
              <w:spacing w:before="0" w:after="0" w:line="300" w:lineRule="auto"/>
              <w:jc w:val="center"/>
              <w:rPr>
                <w:rFonts w:hint="eastAsia" w:ascii="仿宋_GB2312" w:hAnsi="仿宋_GB2312" w:eastAsia="仿宋_GB2312" w:cs="仿宋_GB2312"/>
                <w:sz w:val="40"/>
                <w:szCs w:val="32"/>
              </w:rPr>
            </w:pPr>
            <w:r>
              <w:rPr>
                <w:rFonts w:hint="eastAsia" w:ascii="仿宋_GB2312" w:hAnsi="仿宋_GB2312" w:eastAsia="仿宋_GB2312" w:cs="仿宋_GB2312"/>
                <w:b w:val="0"/>
                <w:sz w:val="28"/>
                <w:szCs w:val="32"/>
              </w:rPr>
              <w:t>3</w:t>
            </w:r>
          </w:p>
        </w:tc>
        <w:tc>
          <w:tcPr>
            <w:tcW w:w="1234" w:type="pct"/>
            <w:tcMar>
              <w:top w:w="80" w:type="dxa"/>
              <w:left w:w="80" w:type="dxa"/>
              <w:bottom w:w="80" w:type="dxa"/>
              <w:right w:w="80" w:type="dxa"/>
            </w:tcMar>
            <w:vAlign w:val="center"/>
          </w:tcPr>
          <w:p w14:paraId="2AD9E637">
            <w:pPr>
              <w:spacing w:before="0" w:after="0" w:line="300" w:lineRule="auto"/>
              <w:jc w:val="center"/>
              <w:rPr>
                <w:rFonts w:hint="eastAsia" w:ascii="仿宋_GB2312" w:hAnsi="仿宋_GB2312" w:eastAsia="仿宋_GB2312" w:cs="仿宋_GB2312"/>
                <w:sz w:val="40"/>
                <w:szCs w:val="32"/>
              </w:rPr>
            </w:pPr>
            <w:r>
              <w:rPr>
                <w:rFonts w:hint="eastAsia" w:ascii="仿宋_GB2312" w:hAnsi="仿宋_GB2312" w:eastAsia="仿宋_GB2312" w:cs="仿宋_GB2312"/>
                <w:b w:val="0"/>
                <w:sz w:val="28"/>
                <w:szCs w:val="32"/>
              </w:rPr>
              <w:t>行政处罚</w:t>
            </w:r>
          </w:p>
        </w:tc>
        <w:tc>
          <w:tcPr>
            <w:tcW w:w="3333" w:type="pct"/>
            <w:tcMar>
              <w:top w:w="80" w:type="dxa"/>
              <w:left w:w="80" w:type="dxa"/>
              <w:bottom w:w="80" w:type="dxa"/>
              <w:right w:w="80" w:type="dxa"/>
            </w:tcMar>
            <w:vAlign w:val="center"/>
          </w:tcPr>
          <w:p w14:paraId="1E97C361">
            <w:pPr>
              <w:spacing w:before="0" w:after="0" w:line="300" w:lineRule="auto"/>
              <w:jc w:val="left"/>
              <w:rPr>
                <w:rFonts w:hint="eastAsia" w:ascii="仿宋_GB2312" w:hAnsi="仿宋_GB2312" w:eastAsia="仿宋_GB2312" w:cs="仿宋_GB2312"/>
                <w:sz w:val="40"/>
                <w:szCs w:val="32"/>
              </w:rPr>
            </w:pPr>
            <w:r>
              <w:rPr>
                <w:rFonts w:hint="eastAsia" w:ascii="仿宋_GB2312" w:hAnsi="仿宋_GB2312" w:eastAsia="仿宋_GB2312" w:cs="仿宋_GB2312"/>
                <w:b w:val="0"/>
                <w:sz w:val="28"/>
                <w:szCs w:val="32"/>
              </w:rPr>
              <w:t>拟作出较大数额罚款、没收较大数额违法所得或者较大价值非法财物，以及降低资质等级、吊销许可证件、责令停产停业、责令关闭、限制从业等对当事人权益产生重大影响的行政处罚决定。</w:t>
            </w:r>
          </w:p>
        </w:tc>
      </w:tr>
      <w:tr w14:paraId="7F8316A0">
        <w:trPr>
          <w:jc w:val="center"/>
        </w:trPr>
        <w:tc>
          <w:tcPr>
            <w:tcW w:w="432" w:type="pct"/>
            <w:tcMar>
              <w:top w:w="80" w:type="dxa"/>
              <w:left w:w="80" w:type="dxa"/>
              <w:bottom w:w="80" w:type="dxa"/>
              <w:right w:w="80" w:type="dxa"/>
            </w:tcMar>
            <w:vAlign w:val="center"/>
          </w:tcPr>
          <w:p w14:paraId="10DB10D9">
            <w:pPr>
              <w:spacing w:before="0" w:after="0" w:line="300" w:lineRule="auto"/>
              <w:jc w:val="center"/>
              <w:rPr>
                <w:rFonts w:hint="eastAsia" w:ascii="仿宋_GB2312" w:hAnsi="仿宋_GB2312" w:eastAsia="仿宋_GB2312" w:cs="仿宋_GB2312"/>
                <w:sz w:val="40"/>
                <w:szCs w:val="32"/>
              </w:rPr>
            </w:pPr>
            <w:r>
              <w:rPr>
                <w:rFonts w:hint="eastAsia" w:ascii="仿宋_GB2312" w:hAnsi="仿宋_GB2312" w:eastAsia="仿宋_GB2312" w:cs="仿宋_GB2312"/>
                <w:b w:val="0"/>
                <w:sz w:val="28"/>
                <w:szCs w:val="32"/>
              </w:rPr>
              <w:t>4</w:t>
            </w:r>
          </w:p>
        </w:tc>
        <w:tc>
          <w:tcPr>
            <w:tcW w:w="1234" w:type="pct"/>
            <w:tcMar>
              <w:top w:w="80" w:type="dxa"/>
              <w:left w:w="80" w:type="dxa"/>
              <w:bottom w:w="80" w:type="dxa"/>
              <w:right w:w="80" w:type="dxa"/>
            </w:tcMar>
            <w:vAlign w:val="center"/>
          </w:tcPr>
          <w:p w14:paraId="49F0C77B">
            <w:pPr>
              <w:spacing w:before="0" w:after="0" w:line="300" w:lineRule="auto"/>
              <w:jc w:val="center"/>
              <w:rPr>
                <w:rFonts w:hint="eastAsia" w:ascii="仿宋_GB2312" w:hAnsi="仿宋_GB2312" w:eastAsia="仿宋_GB2312" w:cs="仿宋_GB2312"/>
                <w:sz w:val="40"/>
                <w:szCs w:val="32"/>
              </w:rPr>
            </w:pPr>
            <w:r>
              <w:rPr>
                <w:rFonts w:hint="eastAsia" w:ascii="仿宋_GB2312" w:hAnsi="仿宋_GB2312" w:eastAsia="仿宋_GB2312" w:cs="仿宋_GB2312"/>
                <w:b w:val="0"/>
                <w:sz w:val="28"/>
                <w:szCs w:val="32"/>
              </w:rPr>
              <w:t>行政处罚</w:t>
            </w:r>
          </w:p>
        </w:tc>
        <w:tc>
          <w:tcPr>
            <w:tcW w:w="3333" w:type="pct"/>
            <w:tcMar>
              <w:top w:w="80" w:type="dxa"/>
              <w:left w:w="80" w:type="dxa"/>
              <w:bottom w:w="80" w:type="dxa"/>
              <w:right w:w="80" w:type="dxa"/>
            </w:tcMar>
            <w:vAlign w:val="center"/>
          </w:tcPr>
          <w:p w14:paraId="6FFE7BFD">
            <w:pPr>
              <w:spacing w:before="0" w:after="0" w:line="300" w:lineRule="auto"/>
              <w:jc w:val="left"/>
              <w:rPr>
                <w:rFonts w:hint="eastAsia" w:ascii="仿宋_GB2312" w:hAnsi="仿宋_GB2312" w:eastAsia="仿宋_GB2312" w:cs="仿宋_GB2312"/>
                <w:sz w:val="40"/>
                <w:szCs w:val="32"/>
              </w:rPr>
            </w:pPr>
            <w:r>
              <w:rPr>
                <w:rFonts w:hint="eastAsia" w:ascii="仿宋_GB2312" w:hAnsi="仿宋_GB2312" w:eastAsia="仿宋_GB2312" w:cs="仿宋_GB2312"/>
                <w:b w:val="0"/>
                <w:sz w:val="28"/>
                <w:szCs w:val="32"/>
              </w:rPr>
              <w:t>案情疑难复杂、涉及多个法律关系，或者在事实认定、证据采信、法律适用、行政裁量等方面存在较大争议的行政处罚决定。</w:t>
            </w:r>
          </w:p>
        </w:tc>
      </w:tr>
      <w:tr w14:paraId="4A8CF672">
        <w:trPr>
          <w:jc w:val="center"/>
        </w:trPr>
        <w:tc>
          <w:tcPr>
            <w:tcW w:w="432" w:type="pct"/>
            <w:tcMar>
              <w:top w:w="80" w:type="dxa"/>
              <w:left w:w="80" w:type="dxa"/>
              <w:bottom w:w="80" w:type="dxa"/>
              <w:right w:w="80" w:type="dxa"/>
            </w:tcMar>
            <w:vAlign w:val="center"/>
          </w:tcPr>
          <w:p w14:paraId="3D25962A">
            <w:pPr>
              <w:spacing w:before="0" w:after="0" w:line="300" w:lineRule="auto"/>
              <w:jc w:val="center"/>
              <w:rPr>
                <w:rFonts w:hint="eastAsia" w:ascii="仿宋_GB2312" w:hAnsi="仿宋_GB2312" w:eastAsia="仿宋_GB2312" w:cs="仿宋_GB2312"/>
                <w:sz w:val="40"/>
                <w:szCs w:val="32"/>
              </w:rPr>
            </w:pPr>
            <w:r>
              <w:rPr>
                <w:rFonts w:hint="eastAsia" w:ascii="仿宋_GB2312" w:hAnsi="仿宋_GB2312" w:eastAsia="仿宋_GB2312" w:cs="仿宋_GB2312"/>
                <w:b w:val="0"/>
                <w:sz w:val="28"/>
                <w:szCs w:val="32"/>
              </w:rPr>
              <w:t>5</w:t>
            </w:r>
          </w:p>
        </w:tc>
        <w:tc>
          <w:tcPr>
            <w:tcW w:w="1234" w:type="pct"/>
            <w:tcMar>
              <w:top w:w="80" w:type="dxa"/>
              <w:left w:w="80" w:type="dxa"/>
              <w:bottom w:w="80" w:type="dxa"/>
              <w:right w:w="80" w:type="dxa"/>
            </w:tcMar>
            <w:vAlign w:val="center"/>
          </w:tcPr>
          <w:p w14:paraId="3CF5BF03">
            <w:pPr>
              <w:spacing w:before="0" w:after="0" w:line="300" w:lineRule="auto"/>
              <w:jc w:val="center"/>
              <w:rPr>
                <w:rFonts w:hint="eastAsia" w:ascii="仿宋_GB2312" w:hAnsi="仿宋_GB2312" w:eastAsia="仿宋_GB2312" w:cs="仿宋_GB2312"/>
                <w:sz w:val="40"/>
                <w:szCs w:val="32"/>
              </w:rPr>
            </w:pPr>
            <w:r>
              <w:rPr>
                <w:rFonts w:hint="eastAsia" w:ascii="仿宋_GB2312" w:hAnsi="仿宋_GB2312" w:eastAsia="仿宋_GB2312" w:cs="仿宋_GB2312"/>
                <w:b w:val="0"/>
                <w:sz w:val="28"/>
                <w:szCs w:val="32"/>
              </w:rPr>
              <w:t>行政许可</w:t>
            </w:r>
          </w:p>
        </w:tc>
        <w:tc>
          <w:tcPr>
            <w:tcW w:w="3333" w:type="pct"/>
            <w:tcMar>
              <w:top w:w="80" w:type="dxa"/>
              <w:left w:w="80" w:type="dxa"/>
              <w:bottom w:w="80" w:type="dxa"/>
              <w:right w:w="80" w:type="dxa"/>
            </w:tcMar>
            <w:vAlign w:val="center"/>
          </w:tcPr>
          <w:p w14:paraId="059D7B6B">
            <w:pPr>
              <w:spacing w:before="0" w:after="0" w:line="300" w:lineRule="auto"/>
              <w:jc w:val="left"/>
              <w:rPr>
                <w:rFonts w:hint="eastAsia" w:ascii="仿宋_GB2312" w:hAnsi="仿宋_GB2312" w:eastAsia="仿宋_GB2312" w:cs="仿宋_GB2312"/>
                <w:sz w:val="40"/>
                <w:szCs w:val="32"/>
              </w:rPr>
            </w:pPr>
            <w:r>
              <w:rPr>
                <w:rFonts w:hint="eastAsia" w:ascii="仿宋_GB2312" w:hAnsi="仿宋_GB2312" w:eastAsia="仿宋_GB2312" w:cs="仿宋_GB2312"/>
                <w:b w:val="0"/>
                <w:sz w:val="28"/>
                <w:szCs w:val="32"/>
              </w:rPr>
              <w:t>涉及重大公共利益，或者直接关系行政相对人、第三人重大权益，依法需要听证的行政许可决定；以及撤销、撤回行政许可等对行政相对人重大权益产生直接影响的行政许可决定。</w:t>
            </w:r>
          </w:p>
        </w:tc>
      </w:tr>
      <w:tr w14:paraId="77154D15">
        <w:trPr>
          <w:jc w:val="center"/>
        </w:trPr>
        <w:tc>
          <w:tcPr>
            <w:tcW w:w="432" w:type="pct"/>
            <w:tcMar>
              <w:top w:w="80" w:type="dxa"/>
              <w:left w:w="80" w:type="dxa"/>
              <w:bottom w:w="80" w:type="dxa"/>
              <w:right w:w="80" w:type="dxa"/>
            </w:tcMar>
            <w:vAlign w:val="center"/>
          </w:tcPr>
          <w:p w14:paraId="3DCD048D">
            <w:pPr>
              <w:spacing w:before="0" w:after="0" w:line="300" w:lineRule="auto"/>
              <w:jc w:val="center"/>
              <w:rPr>
                <w:rFonts w:hint="eastAsia" w:ascii="仿宋_GB2312" w:hAnsi="仿宋_GB2312" w:eastAsia="仿宋_GB2312" w:cs="仿宋_GB2312"/>
                <w:sz w:val="40"/>
                <w:szCs w:val="32"/>
              </w:rPr>
            </w:pPr>
            <w:r>
              <w:rPr>
                <w:rFonts w:hint="eastAsia" w:ascii="仿宋_GB2312" w:hAnsi="仿宋_GB2312" w:eastAsia="仿宋_GB2312" w:cs="仿宋_GB2312"/>
                <w:b w:val="0"/>
                <w:sz w:val="28"/>
                <w:szCs w:val="32"/>
              </w:rPr>
              <w:t>6</w:t>
            </w:r>
          </w:p>
        </w:tc>
        <w:tc>
          <w:tcPr>
            <w:tcW w:w="1234" w:type="pct"/>
            <w:tcMar>
              <w:top w:w="80" w:type="dxa"/>
              <w:left w:w="80" w:type="dxa"/>
              <w:bottom w:w="80" w:type="dxa"/>
              <w:right w:w="80" w:type="dxa"/>
            </w:tcMar>
            <w:vAlign w:val="center"/>
          </w:tcPr>
          <w:p w14:paraId="676DCE87">
            <w:pPr>
              <w:spacing w:before="0" w:after="0" w:line="300" w:lineRule="auto"/>
              <w:jc w:val="center"/>
              <w:rPr>
                <w:rFonts w:hint="eastAsia" w:ascii="仿宋_GB2312" w:hAnsi="仿宋_GB2312" w:eastAsia="仿宋_GB2312" w:cs="仿宋_GB2312"/>
                <w:sz w:val="40"/>
                <w:szCs w:val="32"/>
              </w:rPr>
            </w:pPr>
            <w:r>
              <w:rPr>
                <w:rFonts w:hint="eastAsia" w:ascii="仿宋_GB2312" w:hAnsi="仿宋_GB2312" w:eastAsia="仿宋_GB2312" w:cs="仿宋_GB2312"/>
                <w:b w:val="0"/>
                <w:sz w:val="28"/>
                <w:szCs w:val="32"/>
              </w:rPr>
              <w:t>行政强制</w:t>
            </w:r>
          </w:p>
        </w:tc>
        <w:tc>
          <w:tcPr>
            <w:tcW w:w="3333" w:type="pct"/>
            <w:tcMar>
              <w:top w:w="80" w:type="dxa"/>
              <w:left w:w="80" w:type="dxa"/>
              <w:bottom w:w="80" w:type="dxa"/>
              <w:right w:w="80" w:type="dxa"/>
            </w:tcMar>
            <w:vAlign w:val="center"/>
          </w:tcPr>
          <w:p w14:paraId="269E7A45">
            <w:pPr>
              <w:spacing w:before="0" w:after="0" w:line="300" w:lineRule="auto"/>
              <w:jc w:val="left"/>
              <w:rPr>
                <w:rFonts w:hint="eastAsia" w:ascii="仿宋_GB2312" w:hAnsi="仿宋_GB2312" w:eastAsia="仿宋_GB2312" w:cs="仿宋_GB2312"/>
                <w:sz w:val="40"/>
                <w:szCs w:val="32"/>
              </w:rPr>
            </w:pPr>
            <w:r>
              <w:rPr>
                <w:rFonts w:hint="eastAsia" w:ascii="仿宋_GB2312" w:hAnsi="仿宋_GB2312" w:eastAsia="仿宋_GB2312" w:cs="仿宋_GB2312"/>
                <w:b w:val="0"/>
                <w:sz w:val="28"/>
                <w:szCs w:val="32"/>
              </w:rPr>
              <w:t>对生产经营场所、设施设备、涉案物品等实施查封、扣押等行政强制措施，对行政相对人生产经营或者重大权益产生重大影响的决定；以及重大、疑难复杂的行政强制执行事项。</w:t>
            </w:r>
          </w:p>
        </w:tc>
      </w:tr>
      <w:tr w14:paraId="6922961B">
        <w:trPr>
          <w:jc w:val="center"/>
        </w:trPr>
        <w:tc>
          <w:tcPr>
            <w:tcW w:w="432" w:type="pct"/>
            <w:tcMar>
              <w:top w:w="80" w:type="dxa"/>
              <w:left w:w="80" w:type="dxa"/>
              <w:bottom w:w="80" w:type="dxa"/>
              <w:right w:w="80" w:type="dxa"/>
            </w:tcMar>
            <w:vAlign w:val="center"/>
          </w:tcPr>
          <w:p w14:paraId="2D39086C">
            <w:pPr>
              <w:spacing w:before="0" w:after="0" w:line="300" w:lineRule="auto"/>
              <w:jc w:val="center"/>
              <w:rPr>
                <w:rFonts w:hint="eastAsia" w:ascii="仿宋_GB2312" w:hAnsi="仿宋_GB2312" w:eastAsia="仿宋_GB2312" w:cs="仿宋_GB2312"/>
                <w:sz w:val="40"/>
                <w:szCs w:val="32"/>
              </w:rPr>
            </w:pPr>
            <w:r>
              <w:rPr>
                <w:rFonts w:hint="eastAsia" w:ascii="仿宋_GB2312" w:hAnsi="仿宋_GB2312" w:eastAsia="仿宋_GB2312" w:cs="仿宋_GB2312"/>
                <w:b w:val="0"/>
                <w:sz w:val="28"/>
                <w:szCs w:val="32"/>
              </w:rPr>
              <w:t>7</w:t>
            </w:r>
          </w:p>
        </w:tc>
        <w:tc>
          <w:tcPr>
            <w:tcW w:w="1234" w:type="pct"/>
            <w:tcMar>
              <w:top w:w="80" w:type="dxa"/>
              <w:left w:w="80" w:type="dxa"/>
              <w:bottom w:w="80" w:type="dxa"/>
              <w:right w:w="80" w:type="dxa"/>
            </w:tcMar>
            <w:vAlign w:val="center"/>
          </w:tcPr>
          <w:p w14:paraId="018B693D">
            <w:pPr>
              <w:spacing w:before="0" w:after="0" w:line="300" w:lineRule="auto"/>
              <w:jc w:val="center"/>
              <w:rPr>
                <w:rFonts w:hint="eastAsia" w:ascii="仿宋_GB2312" w:hAnsi="仿宋_GB2312" w:eastAsia="仿宋_GB2312" w:cs="仿宋_GB2312"/>
                <w:sz w:val="40"/>
                <w:szCs w:val="32"/>
              </w:rPr>
            </w:pPr>
            <w:r>
              <w:rPr>
                <w:rFonts w:hint="eastAsia" w:ascii="仿宋_GB2312" w:hAnsi="仿宋_GB2312" w:eastAsia="仿宋_GB2312" w:cs="仿宋_GB2312"/>
                <w:b w:val="0"/>
                <w:sz w:val="28"/>
                <w:szCs w:val="32"/>
              </w:rPr>
              <w:t>农业农村行政执法</w:t>
            </w:r>
          </w:p>
        </w:tc>
        <w:tc>
          <w:tcPr>
            <w:tcW w:w="3333" w:type="pct"/>
            <w:tcMar>
              <w:top w:w="80" w:type="dxa"/>
              <w:left w:w="80" w:type="dxa"/>
              <w:bottom w:w="80" w:type="dxa"/>
              <w:right w:w="80" w:type="dxa"/>
            </w:tcMar>
            <w:vAlign w:val="center"/>
          </w:tcPr>
          <w:p w14:paraId="2F0EC0BE">
            <w:pPr>
              <w:spacing w:before="0" w:after="0" w:line="300" w:lineRule="auto"/>
              <w:jc w:val="left"/>
              <w:rPr>
                <w:rFonts w:hint="eastAsia" w:ascii="仿宋_GB2312" w:hAnsi="仿宋_GB2312" w:eastAsia="仿宋_GB2312" w:cs="仿宋_GB2312"/>
                <w:sz w:val="40"/>
                <w:szCs w:val="32"/>
              </w:rPr>
            </w:pPr>
            <w:r>
              <w:rPr>
                <w:rFonts w:hint="eastAsia" w:ascii="仿宋_GB2312" w:hAnsi="仿宋_GB2312" w:eastAsia="仿宋_GB2312" w:cs="仿宋_GB2312"/>
                <w:b w:val="0"/>
                <w:sz w:val="28"/>
                <w:szCs w:val="32"/>
              </w:rPr>
              <w:t>涉及种子、农药、兽药、饲料和饲料添加剂、动物防疫、畜禽屠宰、农产品质量安全、渔业、农业机械等领域，符合重大公共利益、重大权益、听证或者疑难复杂等情形的行政执法决定。</w:t>
            </w:r>
          </w:p>
        </w:tc>
      </w:tr>
      <w:tr w14:paraId="1F82F402">
        <w:trPr>
          <w:jc w:val="center"/>
        </w:trPr>
        <w:tc>
          <w:tcPr>
            <w:tcW w:w="432" w:type="pct"/>
            <w:tcMar>
              <w:top w:w="80" w:type="dxa"/>
              <w:left w:w="80" w:type="dxa"/>
              <w:bottom w:w="80" w:type="dxa"/>
              <w:right w:w="80" w:type="dxa"/>
            </w:tcMar>
            <w:vAlign w:val="center"/>
          </w:tcPr>
          <w:p w14:paraId="449D3AF4">
            <w:pPr>
              <w:spacing w:before="0" w:after="0" w:line="300" w:lineRule="auto"/>
              <w:jc w:val="center"/>
              <w:rPr>
                <w:rFonts w:hint="eastAsia" w:ascii="仿宋_GB2312" w:hAnsi="仿宋_GB2312" w:eastAsia="仿宋_GB2312" w:cs="仿宋_GB2312"/>
                <w:sz w:val="40"/>
                <w:szCs w:val="32"/>
              </w:rPr>
            </w:pPr>
            <w:r>
              <w:rPr>
                <w:rFonts w:hint="eastAsia" w:ascii="仿宋_GB2312" w:hAnsi="仿宋_GB2312" w:eastAsia="仿宋_GB2312" w:cs="仿宋_GB2312"/>
                <w:b w:val="0"/>
                <w:sz w:val="28"/>
                <w:szCs w:val="32"/>
              </w:rPr>
              <w:t>8</w:t>
            </w:r>
          </w:p>
        </w:tc>
        <w:tc>
          <w:tcPr>
            <w:tcW w:w="1234" w:type="pct"/>
            <w:tcMar>
              <w:top w:w="80" w:type="dxa"/>
              <w:left w:w="80" w:type="dxa"/>
              <w:bottom w:w="80" w:type="dxa"/>
              <w:right w:w="80" w:type="dxa"/>
            </w:tcMar>
            <w:vAlign w:val="center"/>
          </w:tcPr>
          <w:p w14:paraId="096094E4">
            <w:pPr>
              <w:spacing w:before="0" w:after="0" w:line="300" w:lineRule="auto"/>
              <w:jc w:val="center"/>
              <w:rPr>
                <w:rFonts w:hint="eastAsia" w:ascii="仿宋_GB2312" w:hAnsi="仿宋_GB2312" w:eastAsia="仿宋_GB2312" w:cs="仿宋_GB2312"/>
                <w:sz w:val="40"/>
                <w:szCs w:val="32"/>
              </w:rPr>
            </w:pPr>
            <w:r>
              <w:rPr>
                <w:rFonts w:hint="eastAsia" w:ascii="仿宋_GB2312" w:hAnsi="仿宋_GB2312" w:eastAsia="仿宋_GB2312" w:cs="仿宋_GB2312"/>
                <w:b w:val="0"/>
                <w:sz w:val="28"/>
                <w:szCs w:val="32"/>
              </w:rPr>
              <w:t>水行政执法</w:t>
            </w:r>
          </w:p>
        </w:tc>
        <w:tc>
          <w:tcPr>
            <w:tcW w:w="3333" w:type="pct"/>
            <w:tcMar>
              <w:top w:w="80" w:type="dxa"/>
              <w:left w:w="80" w:type="dxa"/>
              <w:bottom w:w="80" w:type="dxa"/>
              <w:right w:w="80" w:type="dxa"/>
            </w:tcMar>
            <w:vAlign w:val="center"/>
          </w:tcPr>
          <w:p w14:paraId="69728A4F">
            <w:pPr>
              <w:spacing w:before="0" w:after="0" w:line="300" w:lineRule="auto"/>
              <w:jc w:val="left"/>
              <w:rPr>
                <w:rFonts w:hint="eastAsia" w:ascii="仿宋_GB2312" w:hAnsi="仿宋_GB2312" w:eastAsia="仿宋_GB2312" w:cs="仿宋_GB2312"/>
                <w:sz w:val="40"/>
                <w:szCs w:val="32"/>
              </w:rPr>
            </w:pPr>
            <w:r>
              <w:rPr>
                <w:rFonts w:hint="eastAsia" w:ascii="仿宋_GB2312" w:hAnsi="仿宋_GB2312" w:eastAsia="仿宋_GB2312" w:cs="仿宋_GB2312"/>
                <w:b w:val="0"/>
                <w:sz w:val="28"/>
                <w:szCs w:val="32"/>
              </w:rPr>
              <w:t>涉及取用水、河湖管理、河道采砂、水土保持、水利工程建设及质量安全、防洪等领域，符合重大公共利益、重大权益、听证或者疑难复杂等情形的行政执法决定。</w:t>
            </w:r>
          </w:p>
        </w:tc>
      </w:tr>
      <w:tr w14:paraId="1C6F8BC6">
        <w:trPr>
          <w:jc w:val="center"/>
        </w:trPr>
        <w:tc>
          <w:tcPr>
            <w:tcW w:w="432" w:type="pct"/>
            <w:tcMar>
              <w:top w:w="80" w:type="dxa"/>
              <w:left w:w="80" w:type="dxa"/>
              <w:bottom w:w="80" w:type="dxa"/>
              <w:right w:w="80" w:type="dxa"/>
            </w:tcMar>
            <w:vAlign w:val="center"/>
          </w:tcPr>
          <w:p w14:paraId="585A38DD">
            <w:pPr>
              <w:spacing w:before="0" w:after="0" w:line="300" w:lineRule="auto"/>
              <w:jc w:val="center"/>
              <w:rPr>
                <w:rFonts w:hint="eastAsia" w:ascii="仿宋_GB2312" w:hAnsi="仿宋_GB2312" w:eastAsia="仿宋_GB2312" w:cs="仿宋_GB2312"/>
                <w:sz w:val="40"/>
                <w:szCs w:val="32"/>
              </w:rPr>
            </w:pPr>
            <w:r>
              <w:rPr>
                <w:rFonts w:hint="eastAsia" w:ascii="仿宋_GB2312" w:hAnsi="仿宋_GB2312" w:eastAsia="仿宋_GB2312" w:cs="仿宋_GB2312"/>
                <w:b w:val="0"/>
                <w:sz w:val="28"/>
                <w:szCs w:val="32"/>
              </w:rPr>
              <w:t>9</w:t>
            </w:r>
          </w:p>
        </w:tc>
        <w:tc>
          <w:tcPr>
            <w:tcW w:w="1234" w:type="pct"/>
            <w:tcMar>
              <w:top w:w="80" w:type="dxa"/>
              <w:left w:w="80" w:type="dxa"/>
              <w:bottom w:w="80" w:type="dxa"/>
              <w:right w:w="80" w:type="dxa"/>
            </w:tcMar>
            <w:vAlign w:val="center"/>
          </w:tcPr>
          <w:p w14:paraId="524BD0C5">
            <w:pPr>
              <w:spacing w:before="0" w:after="0" w:line="300" w:lineRule="auto"/>
              <w:jc w:val="center"/>
              <w:rPr>
                <w:rFonts w:hint="eastAsia" w:ascii="仿宋_GB2312" w:hAnsi="仿宋_GB2312" w:eastAsia="仿宋_GB2312" w:cs="仿宋_GB2312"/>
                <w:sz w:val="40"/>
                <w:szCs w:val="32"/>
              </w:rPr>
            </w:pPr>
            <w:r>
              <w:rPr>
                <w:rFonts w:hint="eastAsia" w:ascii="仿宋_GB2312" w:hAnsi="仿宋_GB2312" w:eastAsia="仿宋_GB2312" w:cs="仿宋_GB2312"/>
                <w:b w:val="0"/>
                <w:sz w:val="28"/>
                <w:szCs w:val="32"/>
              </w:rPr>
              <w:t>行政检查、行政征收征用及其他</w:t>
            </w:r>
          </w:p>
        </w:tc>
        <w:tc>
          <w:tcPr>
            <w:tcW w:w="3333" w:type="pct"/>
            <w:tcMar>
              <w:top w:w="80" w:type="dxa"/>
              <w:left w:w="80" w:type="dxa"/>
              <w:bottom w:w="80" w:type="dxa"/>
              <w:right w:w="80" w:type="dxa"/>
            </w:tcMar>
            <w:vAlign w:val="center"/>
          </w:tcPr>
          <w:p w14:paraId="65531B61">
            <w:pPr>
              <w:spacing w:before="0" w:after="0" w:line="300" w:lineRule="auto"/>
              <w:jc w:val="left"/>
              <w:rPr>
                <w:rFonts w:hint="eastAsia" w:ascii="仿宋_GB2312" w:hAnsi="仿宋_GB2312" w:eastAsia="仿宋_GB2312" w:cs="仿宋_GB2312"/>
                <w:sz w:val="40"/>
                <w:szCs w:val="32"/>
              </w:rPr>
            </w:pPr>
            <w:r>
              <w:rPr>
                <w:rFonts w:hint="eastAsia" w:ascii="仿宋_GB2312" w:hAnsi="仿宋_GB2312" w:eastAsia="仿宋_GB2312" w:cs="仿宋_GB2312"/>
                <w:b w:val="0"/>
                <w:sz w:val="28"/>
                <w:szCs w:val="32"/>
              </w:rPr>
              <w:t>行政检查、行政征收征用等执法活动中，直接关系行政相对人或者第三人重大权益，可能造成重大社会影响或者社会风险，以及案件情况疑难复杂、涉及多个法律关系的行政执法决定。</w:t>
            </w:r>
          </w:p>
        </w:tc>
      </w:tr>
      <w:tr w14:paraId="4ADA66AD">
        <w:trPr>
          <w:jc w:val="center"/>
        </w:trPr>
        <w:tc>
          <w:tcPr>
            <w:tcW w:w="432" w:type="pct"/>
            <w:tcMar>
              <w:top w:w="80" w:type="dxa"/>
              <w:left w:w="80" w:type="dxa"/>
              <w:bottom w:w="80" w:type="dxa"/>
              <w:right w:w="80" w:type="dxa"/>
            </w:tcMar>
            <w:vAlign w:val="center"/>
          </w:tcPr>
          <w:p w14:paraId="24827B16">
            <w:pPr>
              <w:spacing w:before="0" w:after="0" w:line="300" w:lineRule="auto"/>
              <w:jc w:val="center"/>
              <w:rPr>
                <w:rFonts w:hint="eastAsia" w:ascii="仿宋_GB2312" w:hAnsi="仿宋_GB2312" w:eastAsia="仿宋_GB2312" w:cs="仿宋_GB2312"/>
                <w:sz w:val="40"/>
                <w:szCs w:val="32"/>
              </w:rPr>
            </w:pPr>
            <w:r>
              <w:rPr>
                <w:rFonts w:hint="eastAsia" w:ascii="仿宋_GB2312" w:hAnsi="仿宋_GB2312" w:eastAsia="仿宋_GB2312" w:cs="仿宋_GB2312"/>
                <w:b w:val="0"/>
                <w:sz w:val="28"/>
                <w:szCs w:val="32"/>
              </w:rPr>
              <w:t>10</w:t>
            </w:r>
          </w:p>
        </w:tc>
        <w:tc>
          <w:tcPr>
            <w:tcW w:w="1234" w:type="pct"/>
            <w:tcMar>
              <w:top w:w="80" w:type="dxa"/>
              <w:left w:w="80" w:type="dxa"/>
              <w:bottom w:w="80" w:type="dxa"/>
              <w:right w:w="80" w:type="dxa"/>
            </w:tcMar>
            <w:vAlign w:val="center"/>
          </w:tcPr>
          <w:p w14:paraId="1DB42ABA">
            <w:pPr>
              <w:spacing w:before="0" w:after="0" w:line="300" w:lineRule="auto"/>
              <w:jc w:val="center"/>
              <w:rPr>
                <w:rFonts w:hint="eastAsia" w:ascii="仿宋_GB2312" w:hAnsi="仿宋_GB2312" w:eastAsia="仿宋_GB2312" w:cs="仿宋_GB2312"/>
                <w:sz w:val="40"/>
                <w:szCs w:val="32"/>
              </w:rPr>
            </w:pPr>
            <w:r>
              <w:rPr>
                <w:rFonts w:hint="eastAsia" w:ascii="仿宋_GB2312" w:hAnsi="仿宋_GB2312" w:eastAsia="仿宋_GB2312" w:cs="仿宋_GB2312"/>
                <w:b w:val="0"/>
                <w:sz w:val="28"/>
                <w:szCs w:val="32"/>
              </w:rPr>
              <w:t>其他</w:t>
            </w:r>
          </w:p>
        </w:tc>
        <w:tc>
          <w:tcPr>
            <w:tcW w:w="3333" w:type="pct"/>
            <w:tcMar>
              <w:top w:w="80" w:type="dxa"/>
              <w:left w:w="80" w:type="dxa"/>
              <w:bottom w:w="80" w:type="dxa"/>
              <w:right w:w="80" w:type="dxa"/>
            </w:tcMar>
            <w:vAlign w:val="center"/>
          </w:tcPr>
          <w:p w14:paraId="5FDF8C3A">
            <w:pPr>
              <w:spacing w:before="0" w:after="0" w:line="300" w:lineRule="auto"/>
              <w:jc w:val="left"/>
              <w:rPr>
                <w:rFonts w:hint="eastAsia" w:ascii="仿宋_GB2312" w:hAnsi="仿宋_GB2312" w:eastAsia="仿宋_GB2312" w:cs="仿宋_GB2312"/>
                <w:sz w:val="40"/>
                <w:szCs w:val="32"/>
              </w:rPr>
            </w:pPr>
            <w:r>
              <w:rPr>
                <w:rFonts w:hint="eastAsia" w:ascii="仿宋_GB2312" w:hAnsi="仿宋_GB2312" w:eastAsia="仿宋_GB2312" w:cs="仿宋_GB2312"/>
                <w:b w:val="0"/>
                <w:sz w:val="28"/>
                <w:szCs w:val="32"/>
              </w:rPr>
              <w:t>法律、法规、规章或者规范性文件规定应当进行法制审核的其他重大行政执法决定，以及经本局负责人认为需要进行法制审核的其他重大、疑难、复杂行政执法事项。</w:t>
            </w:r>
          </w:p>
        </w:tc>
      </w:tr>
    </w:tbl>
    <w:p w14:paraId="6FB87436">
      <w:pPr>
        <w:pStyle w:val="19"/>
        <w:widowControl/>
        <w:rPr>
          <w:rFonts w:ascii="Times New Roman" w:hAnsi="Times New Roman" w:eastAsia="仿宋_GB2312" w:cs="仿宋_GB2312"/>
          <w:b w:val="0"/>
          <w:sz w:val="32"/>
          <w:szCs w:val="32"/>
        </w:rPr>
      </w:pPr>
      <w:r>
        <w:rPr>
          <w:rFonts w:hint="eastAsia" w:ascii="Times New Roman" w:hAnsi="Times New Roman" w:eastAsia="仿宋_GB2312" w:cs="仿宋_GB2312"/>
          <w:b w:val="0"/>
          <w:sz w:val="32"/>
          <w:szCs w:val="32"/>
        </w:rPr>
        <w:t>法制审核主要内容：</w:t>
      </w:r>
    </w:p>
    <w:p w14:paraId="4A613DB6">
      <w:pPr>
        <w:pStyle w:val="19"/>
        <w:widowControl/>
        <w:rPr>
          <w:rFonts w:ascii="Times New Roman" w:hAnsi="Times New Roman" w:eastAsia="仿宋_GB2312" w:cs="仿宋_GB2312"/>
          <w:sz w:val="32"/>
          <w:szCs w:val="32"/>
        </w:rPr>
      </w:pPr>
      <w:r>
        <w:rPr>
          <w:rFonts w:ascii="Times New Roman" w:hAnsi="Times New Roman" w:eastAsia="仿宋_GB2312" w:cs="仿宋_GB2312"/>
          <w:b w:val="0"/>
          <w:sz w:val="32"/>
          <w:szCs w:val="32"/>
        </w:rPr>
        <w:t>重点审核行政执法主体和执法人员资格是否合法；是否超越法定职权或者滥用职权；事实是否清楚、证据是否确凿充分；执法程序是否合法正当；适用法律、法规、规章是否准确；行政裁量权行使是否适当；行政执法文书是否规范齐备；违法行为是否涉嫌犯罪需要移送司法机关，以及其他依法应当审核的内容。</w:t>
      </w:r>
    </w:p>
    <w:p w14:paraId="7BEAFD16">
      <w:pPr>
        <w:pStyle w:val="19"/>
        <w:widowControl/>
        <w:rPr>
          <w:rFonts w:ascii="Times New Roman" w:hAnsi="Times New Roman" w:eastAsia="仿宋_GB2312" w:cs="仿宋_GB2312"/>
          <w:sz w:val="32"/>
          <w:szCs w:val="32"/>
        </w:rPr>
      </w:pPr>
      <w:r>
        <w:rPr>
          <w:rFonts w:ascii="Times New Roman" w:hAnsi="Times New Roman" w:eastAsia="仿宋_GB2312" w:cs="仿宋_GB2312"/>
          <w:b w:val="0"/>
          <w:sz w:val="32"/>
          <w:szCs w:val="32"/>
        </w:rPr>
        <w:t>列入本目录清单的重大行政执法决定，在作出决定前应当依法进行法制审核。未经法制审核或者审核未通过的，不得作出行政执法决定。</w:t>
      </w:r>
    </w:p>
    <w:p w14:paraId="5513F33D">
      <w:pPr>
        <w:pStyle w:val="19"/>
        <w:widowControl/>
        <w:rPr>
          <w:rFonts w:ascii="Times New Roman" w:hAnsi="Times New Roman" w:eastAsia="仿宋_GB2312" w:cs="仿宋_GB2312"/>
          <w:b w:val="0"/>
          <w:sz w:val="32"/>
          <w:szCs w:val="32"/>
        </w:rPr>
      </w:pPr>
      <w:r>
        <w:rPr>
          <w:rFonts w:ascii="Times New Roman" w:hAnsi="Times New Roman" w:eastAsia="仿宋_GB2312" w:cs="仿宋_GB2312"/>
          <w:b w:val="0"/>
          <w:sz w:val="32"/>
          <w:szCs w:val="32"/>
        </w:rPr>
        <w:t>本目录清单根据法律、法规、规章以及本局行政执法权责事项调整情况实行动态调整。</w:t>
      </w:r>
    </w:p>
    <w:p w14:paraId="42CD80BB">
      <w:pPr>
        <w:pStyle w:val="19"/>
        <w:bidi w:val="0"/>
      </w:pPr>
    </w:p>
    <w:sectPr>
      <w:headerReference r:id="rId5" w:type="default"/>
      <w:footerReference r:id="rId7" w:type="default"/>
      <w:headerReference r:id="rId6" w:type="even"/>
      <w:footerReference r:id="rId8" w:type="even"/>
      <w:pgSz w:w="12240" w:h="15840"/>
      <w:pgMar w:top="2098" w:right="1474" w:bottom="1984" w:left="1587" w:header="851" w:footer="1417" w:gutter="0"/>
      <w:pgNumType w:fmt="decimal"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Noto Serif CJK SC">
    <w:altName w:val="苹方-简"/>
    <w:panose1 w:val="00000000000000000000"/>
    <w:charset w:val="00"/>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苹方-简">
    <w:panose1 w:val="020B0400000000000000"/>
    <w:charset w:val="86"/>
    <w:family w:val="auto"/>
    <w:pitch w:val="default"/>
    <w:sig w:usb0="A00002FF" w:usb1="7ACFFDFB" w:usb2="00000017" w:usb3="00000000" w:csb0="00040001"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ＭＳ ゴシック">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方正小标宋简体">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黑体">
    <w:altName w:val="汉仪中黑KW"/>
    <w:panose1 w:val="00000000000000000000"/>
    <w:charset w:val="00"/>
    <w:family w:val="auto"/>
    <w:pitch w:val="default"/>
    <w:sig w:usb0="00000000" w:usb1="00000000" w:usb2="00000000" w:usb3="00000000" w:csb0="00000000" w:csb1="00000000"/>
  </w:font>
  <w:font w:name="楷体_GB2312">
    <w:altName w:val="汉仪楷体简"/>
    <w:panose1 w:val="00000000000000000000"/>
    <w:charset w:val="00"/>
    <w:family w:val="auto"/>
    <w:pitch w:val="default"/>
    <w:sig w:usb0="00000000" w:usb1="00000000" w:usb2="00000000" w:usb3="00000000" w:csb0="00000000" w:csb1="00000000"/>
  </w:font>
  <w:font w:name="宋体-简">
    <w:panose1 w:val="02010800040101010101"/>
    <w:charset w:val="86"/>
    <w:family w:val="auto"/>
    <w:pitch w:val="default"/>
    <w:sig w:usb0="00000001" w:usb1="080F0000" w:usb2="00000000" w:usb3="00000000" w:csb0="00040000" w:csb1="00000000"/>
  </w:font>
  <w:font w:name="汉仪楷体简">
    <w:panose1 w:val="02010600000101010101"/>
    <w:charset w:val="86"/>
    <w:family w:val="auto"/>
    <w:pitch w:val="default"/>
    <w:sig w:usb0="00000001" w:usb1="080E0800" w:usb2="00000002" w:usb3="00000000" w:csb0="00040000" w:csb1="00000000"/>
  </w:font>
  <w:font w:name="PingFang SC Regular">
    <w:panose1 w:val="020B0400000000000000"/>
    <w:charset w:val="86"/>
    <w:family w:val="auto"/>
    <w:pitch w:val="default"/>
    <w:sig w:usb0="A00002FF" w:usb1="7ACFFDFB" w:usb2="00000017" w:usb3="00000000" w:csb0="00040001" w:csb1="00000000"/>
  </w:font>
  <w:font w:name="Helvetica Neue Regular">
    <w:panose1 w:val="02000503000000020004"/>
    <w:charset w:val="00"/>
    <w:family w:val="auto"/>
    <w:pitch w:val="default"/>
    <w:sig w:usb0="E50002FF" w:usb1="500079DB" w:usb2="00000010" w:usb3="00000000" w:csb0="00000000" w:csb1="00000000"/>
  </w:font>
  <w:font w:name="方正仿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22B83B">
    <w:pPr>
      <w:pStyle w:val="24"/>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76D79C5">
                          <w:pPr>
                            <w:pStyle w:val="24"/>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">
              <v:fill on="f" focussize="0,0"/>
              <v:stroke on="f" weight="0.5pt"/>
              <v:imagedata o:title=""/>
              <o:lock v:ext="edit" aspectratio="f"/>
              <v:textbox inset="16pt,0mm,16pt,0mm" style="mso-fit-shape-to-text:t;">
                <w:txbxContent>
                  <w:p w14:paraId="276D79C5">
                    <w:pPr>
                      <w:pStyle w:val="24"/>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009C12">
    <w:pPr>
      <w:pStyle w:val="24"/>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328C6AB">
                          <w:pPr>
                            <w:pStyle w:val="24"/>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">
              <v:fill on="f" focussize="0,0"/>
              <v:stroke on="f" weight="0.5pt"/>
              <v:imagedata o:title=""/>
              <o:lock v:ext="edit" aspectratio="f"/>
              <v:textbox inset="16pt,0mm,16pt,0mm" style="mso-fit-shape-to-text:t;">
                <w:txbxContent>
                  <w:p w14:paraId="2328C6AB">
                    <w:pPr>
                      <w:pStyle w:val="24"/>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4A4480">
    <w:pPr>
      <w:pStyle w:val="2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E26F3">
    <w:pPr>
      <w:pStyle w:val="2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documentProtection w:enforcement="0"/>
  <w:defaultTabStop w:val="720"/>
  <w:evenAndOddHeaders w:val="1"/>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6FA7F8A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officialmode val="1"/>
    </mc:Choice>
  </mc:AlternateContent>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Noto Serif CJK SC" w:hAnsi="Noto Serif CJK SC" w:eastAsia="Noto Serif CJK SC" w:cstheme="minorBidi"/>
      <w:sz w:val="28"/>
      <w:szCs w:val="22"/>
      <w:lang w:val="en-US" w:eastAsia="en-US" w:bidi="ar-SA"/>
    </w:rPr>
  </w:style>
  <w:style w:type="paragraph" w:styleId="3">
    <w:name w:val="heading 1"/>
    <w:next w:val="1"/>
    <w:qFormat/>
    <w:uiPriority w:val="9"/>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4">
    <w:name w:val="heading 2"/>
    <w:next w:val="1"/>
    <w:unhideWhenUsed/>
    <w:qFormat/>
    <w:uiPriority w:val="9"/>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5">
    <w:name w:val="heading 3"/>
    <w:next w:val="1"/>
    <w:unhideWhenUsed/>
    <w:qFormat/>
    <w:uiPriority w:val="9"/>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6">
    <w:name w:val="heading 4"/>
    <w:next w:val="1"/>
    <w:semiHidden/>
    <w:unhideWhenUsed/>
    <w:qFormat/>
    <w:uiPriority w:val="9"/>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7">
    <w:name w:val="heading 5"/>
    <w:next w:val="1"/>
    <w:semiHidden/>
    <w:unhideWhenUsed/>
    <w:qFormat/>
    <w:uiPriority w:val="9"/>
    <w:pPr>
      <w:spacing w:line="560" w:lineRule="exact"/>
      <w:ind w:firstLine="894" w:firstLineChars="200"/>
      <w:outlineLvl w:val="4"/>
    </w:pPr>
    <w:rPr>
      <w:rFonts w:ascii="Times New Roman" w:hAnsi="Times New Roman" w:eastAsia="仿宋_GB2312" w:cs="仿宋_GB2312"/>
      <w:sz w:val="32"/>
      <w:szCs w:val="32"/>
    </w:rPr>
  </w:style>
  <w:style w:type="paragraph" w:styleId="8">
    <w:name w:val="heading 6"/>
    <w:next w:val="1"/>
    <w:semiHidden/>
    <w:unhideWhenUsed/>
    <w:qFormat/>
    <w:uiPriority w:val="9"/>
    <w:pPr>
      <w:spacing w:line="560" w:lineRule="exact"/>
      <w:ind w:firstLine="894" w:firstLineChars="200"/>
      <w:outlineLvl w:val="5"/>
    </w:pPr>
    <w:rPr>
      <w:rFonts w:ascii="Times New Roman" w:hAnsi="Times New Roman" w:eastAsia="仿宋_GB2312" w:cs="仿宋_GB2312"/>
      <w:sz w:val="32"/>
      <w:szCs w:val="32"/>
    </w:rPr>
  </w:style>
  <w:style w:type="paragraph" w:styleId="9">
    <w:name w:val="heading 7"/>
    <w:next w:val="1"/>
    <w:semiHidden/>
    <w:unhideWhenUsed/>
    <w:qFormat/>
    <w:uiPriority w:val="9"/>
    <w:pPr>
      <w:spacing w:line="560" w:lineRule="exact"/>
      <w:ind w:firstLine="894" w:firstLineChars="200"/>
      <w:outlineLvl w:val="6"/>
    </w:pPr>
    <w:rPr>
      <w:rFonts w:ascii="Times New Roman" w:hAnsi="Times New Roman" w:eastAsia="仿宋_GB2312" w:cs="仿宋_GB2312"/>
      <w:sz w:val="32"/>
      <w:szCs w:val="32"/>
    </w:rPr>
  </w:style>
  <w:style w:type="paragraph" w:styleId="10">
    <w:name w:val="heading 8"/>
    <w:next w:val="1"/>
    <w:semiHidden/>
    <w:unhideWhenUsed/>
    <w:qFormat/>
    <w:uiPriority w:val="9"/>
    <w:pPr>
      <w:spacing w:line="560" w:lineRule="exact"/>
      <w:ind w:firstLine="894" w:firstLineChars="200"/>
      <w:outlineLvl w:val="7"/>
    </w:pPr>
    <w:rPr>
      <w:rFonts w:ascii="Times New Roman" w:hAnsi="Times New Roman" w:eastAsia="仿宋_GB2312" w:cs="仿宋_GB2312"/>
      <w:sz w:val="32"/>
      <w:szCs w:val="32"/>
    </w:rPr>
  </w:style>
  <w:style w:type="paragraph" w:styleId="11">
    <w:name w:val="heading 9"/>
    <w:next w:val="1"/>
    <w:semiHidden/>
    <w:unhideWhenUsed/>
    <w:qFormat/>
    <w:uiPriority w:val="9"/>
    <w:pPr>
      <w:spacing w:line="560" w:lineRule="exact"/>
      <w:ind w:firstLine="894" w:firstLineChars="200"/>
      <w:outlineLvl w:val="8"/>
    </w:pPr>
    <w:rPr>
      <w:rFonts w:ascii="Times New Roman" w:hAnsi="Times New Roman" w:eastAsia="仿宋_GB2312" w:cs="仿宋_GB2312"/>
      <w:sz w:val="32"/>
      <w:szCs w:val="32"/>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link w:val="144"/>
    <w:unhideWhenUsed/>
    <w:uiPriority w:val="99"/>
    <w:pPr>
      <w:spacing w:line="560" w:lineRule="exact"/>
      <w:ind w:firstLine="630" w:firstLineChars="200"/>
      <w:jc w:val="both"/>
    </w:pPr>
    <w:rPr>
      <w:rFonts w:ascii="Times New Roman" w:hAnsi="Times New Roman" w:eastAsia="仿宋_GB2312" w:cs="仿宋_GB2312"/>
      <w:spacing w:val="-6"/>
      <w:sz w:val="32"/>
      <w:szCs w:val="32"/>
    </w:r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next w:val="1"/>
    <w:qFormat/>
    <w:uiPriority w:val="11"/>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next w:val="1"/>
    <w:link w:val="141"/>
    <w:qFormat/>
    <w:uiPriority w:val="10"/>
    <w:pPr>
      <w:spacing w:line="720" w:lineRule="exact"/>
      <w:jc w:val="center"/>
      <w:outlineLvl w:val="9"/>
    </w:pPr>
    <w:rPr>
      <w:rFonts w:ascii="方正小标宋简体" w:hAnsi="方正小标宋简体" w:eastAsia="方正小标宋简体" w:cs="方正小标宋简体"/>
      <w:sz w:val="44"/>
      <w:szCs w:val="44"/>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link w:val="31"/>
    <w:uiPriority w:val="10"/>
    <w:rPr>
      <w:rFonts w:ascii="Noto Serif CJK SC" w:hAnsi="Noto Serif CJK SC" w:eastAsia="Noto Serif CJK SC" w:cs="Noto Serif CJK SC"/>
      <w:sz w:val="44"/>
      <w:szCs w:val="44"/>
      <w:lang w:val="zh-CN"/>
    </w:rPr>
  </w:style>
  <w:style w:type="character" w:customStyle="1" w:styleId="142">
    <w:name w:val="Subtitle Char"/>
    <w:basedOn w:val="132"/>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link w:val="19"/>
    <w:uiPriority w:val="99"/>
    <w:rPr>
      <w:rFonts w:ascii="Times New Roman" w:hAnsi="Times New Roman" w:eastAsia="ＭＳ 明朝" w:cs="ＭＳ 明朝"/>
      <w:spacing w:val="-6"/>
      <w:sz w:val="32"/>
      <w:szCs w:val="32"/>
    </w:rPr>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TotalTime>
  <ScaleCrop>false</ScaleCrop>
  <LinksUpToDate>false</LinksUpToDate>
  <CharactersWithSpaces>0</CharactersWithSpaces>
  <Application>WPS Office_12.1.28492.28492_F1E327BC-269C-435d-A152-05C5408002CA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嘟嘟</cp:lastModifiedBy>
  <dcterms:modified xsi:type="dcterms:W3CDTF">2026-09-24T11:07:49Z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2052-12.1.28492.28492</vt:lpwstr>
  </property>
  <property fmtid="{D5CDD505-2E9C-101B-9397-08002B2CF9AE}" pid="3" name="ICV">
    <vt:lpwstr>6F625505CF926D740594B46A18167DD0_42</vt:lpwstr>
  </property>
</Properties>
</file>